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C15B5" w14:textId="77777777" w:rsidR="00000000" w:rsidRDefault="00406127">
      <w:pPr>
        <w:jc w:val="right"/>
        <w:rPr>
          <w:rFonts w:ascii="Verdana" w:eastAsia="Times New Roman" w:hAnsi="Verdana"/>
          <w:sz w:val="18"/>
          <w:szCs w:val="18"/>
        </w:rPr>
      </w:pPr>
      <w:r>
        <w:rPr>
          <w:rFonts w:ascii="Verdana" w:eastAsia="Times New Roman" w:hAnsi="Verdana"/>
          <w:noProof/>
          <w:sz w:val="18"/>
          <w:szCs w:val="18"/>
        </w:rPr>
        <w:drawing>
          <wp:inline distT="0" distB="0" distL="0" distR="0" wp14:anchorId="521EE001" wp14:editId="058468F9">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14:paraId="660D1392" w14:textId="66469583" w:rsidR="00000000" w:rsidRDefault="00406127" w:rsidP="00406127">
      <w:pPr>
        <w:divId w:val="2040083510"/>
        <w:rPr>
          <w:rFonts w:ascii="Verdana" w:hAnsi="Verdana"/>
          <w:sz w:val="18"/>
          <w:szCs w:val="18"/>
        </w:rPr>
      </w:pPr>
      <w:r>
        <w:rPr>
          <w:rFonts w:ascii="Verdana" w:eastAsia="Times New Roman" w:hAnsi="Verdana"/>
          <w:b/>
          <w:bCs/>
          <w:sz w:val="18"/>
          <w:szCs w:val="18"/>
        </w:rPr>
        <w:t>Differentiaaldiagnostiek dissociatieve stoornissen, ernstige persoonlijkheidsstoornissen, nabootsing</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De diagnostiek van dissociatieve symptomen is in de meeste opleidingen een onderbelicht thema. De toenemende aandacht voor de gevolgen van vroegkinderlijke traumatisering op de lange termijn maakt verdieping van diagnostische kennis ten aanzien va</w:t>
      </w:r>
      <w:r>
        <w:rPr>
          <w:rFonts w:ascii="Verdana" w:hAnsi="Verdana"/>
          <w:sz w:val="18"/>
          <w:szCs w:val="18"/>
        </w:rPr>
        <w:t xml:space="preserve">n </w:t>
      </w:r>
      <w:proofErr w:type="spellStart"/>
      <w:r>
        <w:rPr>
          <w:rFonts w:ascii="Verdana" w:hAnsi="Verdana"/>
          <w:sz w:val="18"/>
          <w:szCs w:val="18"/>
        </w:rPr>
        <w:t>traumagerelateerde</w:t>
      </w:r>
      <w:proofErr w:type="spellEnd"/>
      <w:r>
        <w:rPr>
          <w:rFonts w:ascii="Verdana" w:hAnsi="Verdana"/>
          <w:sz w:val="18"/>
          <w:szCs w:val="18"/>
        </w:rPr>
        <w:t xml:space="preserve"> problematiek - waaronder de complexe posttraumatische stress stoornis en de dissociatieve stoornissen - noodzakelijk. In deze cursus wordt ingegaan op de differentiaal diagnostiek tussen dissociatieve stoornissen, de cluster B persoonl</w:t>
      </w:r>
      <w:r>
        <w:rPr>
          <w:rFonts w:ascii="Verdana" w:hAnsi="Verdana"/>
          <w:sz w:val="18"/>
          <w:szCs w:val="18"/>
        </w:rPr>
        <w:t xml:space="preserve">ijkheidsstoornissen met dissociatieve symptomen, nagebootste stoornis en co-morbiditeit met andere stoornissen. </w:t>
      </w:r>
      <w:r>
        <w:rPr>
          <w:rFonts w:ascii="Verdana" w:hAnsi="Verdana"/>
          <w:sz w:val="18"/>
          <w:szCs w:val="18"/>
        </w:rPr>
        <w:br/>
        <w:t>Jouw diagnostische vaardigheden worden vergroot om dissociatieve symptomen te leren herkennen en adequaat te kunnen behandelen. Op grond van de</w:t>
      </w:r>
      <w:r>
        <w:rPr>
          <w:rFonts w:ascii="Verdana" w:hAnsi="Verdana"/>
          <w:sz w:val="18"/>
          <w:szCs w:val="18"/>
        </w:rPr>
        <w:t xml:space="preserve"> aard en de ernst van de dissociatieve problematiek en de persoonlijkheidsproblematiek volgt de indicatie voor verschillende behandeltrajecten.</w:t>
      </w:r>
    </w:p>
    <w:p w14:paraId="1EB4AFAB" w14:textId="3527A44D" w:rsidR="00000000" w:rsidRDefault="00406127">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p>
    <w:p w14:paraId="14C3EE9E" w14:textId="77777777" w:rsidR="00000000" w:rsidRDefault="00406127">
      <w:pPr>
        <w:ind w:left="720"/>
        <w:rPr>
          <w:rFonts w:ascii="Verdana" w:eastAsia="Times New Roman" w:hAnsi="Verdana"/>
          <w:sz w:val="18"/>
          <w:szCs w:val="18"/>
        </w:rPr>
      </w:pPr>
      <w:r>
        <w:rPr>
          <w:rFonts w:ascii="Verdana" w:eastAsia="Times New Roman" w:hAnsi="Verdana"/>
          <w:sz w:val="18"/>
          <w:szCs w:val="18"/>
        </w:rPr>
        <w:t>Wat je leert:</w:t>
      </w:r>
    </w:p>
    <w:p w14:paraId="3BA5DF6B" w14:textId="77777777" w:rsidR="00000000" w:rsidRDefault="00406127">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dissociatieve symptomen herkennen/vaststellen</w:t>
      </w:r>
    </w:p>
    <w:p w14:paraId="6578D24D" w14:textId="77777777" w:rsidR="00000000" w:rsidRDefault="00406127">
      <w:pPr>
        <w:numPr>
          <w:ilvl w:val="0"/>
          <w:numId w:val="1"/>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traumagerelateerde</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comorbiditeit</w:t>
      </w:r>
      <w:proofErr w:type="spellEnd"/>
      <w:r>
        <w:rPr>
          <w:rFonts w:ascii="Verdana" w:eastAsia="Times New Roman" w:hAnsi="Verdana"/>
          <w:sz w:val="18"/>
          <w:szCs w:val="18"/>
        </w:rPr>
        <w:t xml:space="preserve"> herkennen</w:t>
      </w:r>
    </w:p>
    <w:p w14:paraId="6728CA48" w14:textId="77777777" w:rsidR="00000000" w:rsidRDefault="00406127">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dissociatieve stoornis, persoonlijkheidsstoornis (vooral cluster B) (met dissociatieve symptomen) en nagebootste stoornis onderscheiden</w:t>
      </w:r>
    </w:p>
    <w:p w14:paraId="22E52518" w14:textId="77777777" w:rsidR="00000000" w:rsidRDefault="00406127">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inzicht in mogelijke verklaringen van dissociatieve symptomen, differentiaal diagnostiek en beloop van de stoornissen</w:t>
      </w:r>
    </w:p>
    <w:p w14:paraId="4BCCC3A3" w14:textId="77777777" w:rsidR="00000000" w:rsidRDefault="00406127">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ov</w:t>
      </w:r>
      <w:r>
        <w:rPr>
          <w:rFonts w:ascii="Verdana" w:eastAsia="Times New Roman" w:hAnsi="Verdana"/>
          <w:sz w:val="18"/>
          <w:szCs w:val="18"/>
        </w:rPr>
        <w:t>erzicht en kennis van het beschikbare psychiatrische instrumentarium</w:t>
      </w:r>
    </w:p>
    <w:p w14:paraId="097A2DB8" w14:textId="77777777" w:rsidR="00000000" w:rsidRDefault="00406127">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gebruik van psychodiagnostische middelen bij de screening en de diagnostiek van patiënten met dissociatieve symptomen</w:t>
      </w:r>
    </w:p>
    <w:p w14:paraId="2F3895BB" w14:textId="77777777" w:rsidR="00000000" w:rsidRDefault="00406127">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verschillen in behandeling van dissociatieve symptomen bij dissociati</w:t>
      </w:r>
      <w:r>
        <w:rPr>
          <w:rFonts w:ascii="Verdana" w:eastAsia="Times New Roman" w:hAnsi="Verdana"/>
          <w:sz w:val="18"/>
          <w:szCs w:val="18"/>
        </w:rPr>
        <w:t>eve stoornis, cluster B persoonlijkheidsstoornis en nagebootste stoornis</w:t>
      </w:r>
    </w:p>
    <w:p w14:paraId="28D4EF04" w14:textId="77777777" w:rsidR="00000000" w:rsidRDefault="00406127">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het </w:t>
      </w:r>
      <w:proofErr w:type="spellStart"/>
      <w:r>
        <w:rPr>
          <w:rFonts w:ascii="Verdana" w:eastAsia="Times New Roman" w:hAnsi="Verdana"/>
          <w:sz w:val="18"/>
          <w:szCs w:val="18"/>
        </w:rPr>
        <w:t>fasengerichte</w:t>
      </w:r>
      <w:proofErr w:type="spellEnd"/>
      <w:r>
        <w:rPr>
          <w:rFonts w:ascii="Verdana" w:eastAsia="Times New Roman" w:hAnsi="Verdana"/>
          <w:sz w:val="18"/>
          <w:szCs w:val="18"/>
        </w:rPr>
        <w:t xml:space="preserve"> behandelmodel voor dissociatieve stoornissen</w:t>
      </w:r>
    </w:p>
    <w:p w14:paraId="0BE23C41" w14:textId="5FC57508" w:rsidR="00000000" w:rsidRDefault="00406127">
      <w:pPr>
        <w:rPr>
          <w:rFonts w:ascii="Verdana" w:eastAsia="Times New Roman" w:hAnsi="Verdana"/>
          <w:sz w:val="18"/>
          <w:szCs w:val="18"/>
        </w:rPr>
      </w:pP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Klinisch psycholoog BIG, Klinisch neuropsycholoog BIG, Psychiater, A</w:t>
      </w:r>
      <w:r>
        <w:rPr>
          <w:rFonts w:ascii="Verdana" w:eastAsia="Times New Roman" w:hAnsi="Verdana"/>
          <w:sz w:val="18"/>
          <w:szCs w:val="18"/>
        </w:rPr>
        <w:t>rts en Verpleegkundig specialist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p>
    <w:p w14:paraId="012E4E40" w14:textId="77777777" w:rsidR="00000000" w:rsidRDefault="00406127">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Screenen op de aanwezigheid van pathologische dissociatieve symptomen (zowel </w:t>
      </w:r>
      <w:proofErr w:type="spellStart"/>
      <w:r>
        <w:rPr>
          <w:rFonts w:ascii="Verdana" w:eastAsia="Times New Roman" w:hAnsi="Verdana"/>
          <w:sz w:val="18"/>
          <w:szCs w:val="18"/>
        </w:rPr>
        <w:t>somatoform</w:t>
      </w:r>
      <w:proofErr w:type="spellEnd"/>
      <w:r>
        <w:rPr>
          <w:rFonts w:ascii="Verdana" w:eastAsia="Times New Roman" w:hAnsi="Verdana"/>
          <w:sz w:val="18"/>
          <w:szCs w:val="18"/>
        </w:rPr>
        <w:t xml:space="preserve"> als psychogeen) aan de hand van screeningsinstrumenten (DES en SDQ-20).</w:t>
      </w:r>
    </w:p>
    <w:p w14:paraId="687CAF69" w14:textId="77777777" w:rsidR="00000000" w:rsidRDefault="00406127">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Onderscheid tussen een dissociatieve stoornis, dissoc</w:t>
      </w:r>
      <w:r>
        <w:rPr>
          <w:rFonts w:ascii="Verdana" w:eastAsia="Times New Roman" w:hAnsi="Verdana"/>
          <w:sz w:val="18"/>
          <w:szCs w:val="18"/>
        </w:rPr>
        <w:t xml:space="preserve">iatie als symptoom bij BPS en een nagebootste stoornis. </w:t>
      </w:r>
    </w:p>
    <w:p w14:paraId="126237E6" w14:textId="77777777" w:rsidR="00000000" w:rsidRDefault="00406127">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Dissociatieve stoornissen vaststellen aan de hand van gestructureerd diagnostisch interviews SCID-D (Gestructureerd Diagnostisch Interview voor DSM-IV dissociatieve stoornissen) en TADS-I (Trauma </w:t>
      </w:r>
      <w:proofErr w:type="spellStart"/>
      <w:r>
        <w:rPr>
          <w:rFonts w:ascii="Verdana" w:eastAsia="Times New Roman" w:hAnsi="Verdana"/>
          <w:sz w:val="18"/>
          <w:szCs w:val="18"/>
        </w:rPr>
        <w:t>an</w:t>
      </w:r>
      <w:r>
        <w:rPr>
          <w:rFonts w:ascii="Verdana" w:eastAsia="Times New Roman" w:hAnsi="Verdana"/>
          <w:sz w:val="18"/>
          <w:szCs w:val="18"/>
        </w:rPr>
        <w:t>d</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Dissociation</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Symptoms</w:t>
      </w:r>
      <w:proofErr w:type="spellEnd"/>
      <w:r>
        <w:rPr>
          <w:rFonts w:ascii="Verdana" w:eastAsia="Times New Roman" w:hAnsi="Verdana"/>
          <w:sz w:val="18"/>
          <w:szCs w:val="18"/>
        </w:rPr>
        <w:t xml:space="preserve"> Interview (Boon, </w:t>
      </w:r>
      <w:proofErr w:type="spellStart"/>
      <w:r>
        <w:rPr>
          <w:rFonts w:ascii="Verdana" w:eastAsia="Times New Roman" w:hAnsi="Verdana"/>
          <w:sz w:val="18"/>
          <w:szCs w:val="18"/>
        </w:rPr>
        <w:t>Matthess</w:t>
      </w:r>
      <w:proofErr w:type="spellEnd"/>
      <w:r>
        <w:rPr>
          <w:rFonts w:ascii="Verdana" w:eastAsia="Times New Roman" w:hAnsi="Verdana"/>
          <w:sz w:val="18"/>
          <w:szCs w:val="18"/>
        </w:rPr>
        <w:t>, niet gevalideerd, 2015).</w:t>
      </w:r>
    </w:p>
    <w:p w14:paraId="5D072EF2" w14:textId="77777777" w:rsidR="00000000" w:rsidRDefault="00406127">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Complexe co-morbiditeit bij trauma gerelateerde stoornissen.</w:t>
      </w:r>
    </w:p>
    <w:p w14:paraId="77A0E32F" w14:textId="77777777" w:rsidR="00000000" w:rsidRDefault="00406127">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Gevolgen van behandeling tussen verschillende diagnostische groepen (dissociatieve stoornis, BPS en nagebootste stoor</w:t>
      </w:r>
      <w:r>
        <w:rPr>
          <w:rFonts w:ascii="Verdana" w:eastAsia="Times New Roman" w:hAnsi="Verdana"/>
          <w:sz w:val="18"/>
          <w:szCs w:val="18"/>
        </w:rPr>
        <w:t>nis).</w:t>
      </w:r>
    </w:p>
    <w:p w14:paraId="72388A24" w14:textId="77777777" w:rsidR="00000000" w:rsidRDefault="00406127">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Fasen gerichte behandeling voor complexe dissociatieve stoornissen: fase 1 stabilisatie en symptoomreductie, fase 2 behandeling van traumatische herinneringen, fase 3 </w:t>
      </w:r>
      <w:proofErr w:type="spellStart"/>
      <w:r>
        <w:rPr>
          <w:rFonts w:ascii="Verdana" w:eastAsia="Times New Roman" w:hAnsi="Verdana"/>
          <w:sz w:val="18"/>
          <w:szCs w:val="18"/>
        </w:rPr>
        <w:t>persoonlijkheidsreïntegratie</w:t>
      </w:r>
      <w:proofErr w:type="spellEnd"/>
      <w:r>
        <w:rPr>
          <w:rFonts w:ascii="Verdana" w:eastAsia="Times New Roman" w:hAnsi="Verdana"/>
          <w:sz w:val="18"/>
          <w:szCs w:val="18"/>
        </w:rPr>
        <w:t xml:space="preserve"> en rehabilitatie. Het accent ligt op fase 1.</w:t>
      </w:r>
    </w:p>
    <w:p w14:paraId="7E1881E2" w14:textId="77777777" w:rsidR="00000000" w:rsidRDefault="00406127">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Psychod</w:t>
      </w:r>
      <w:r>
        <w:rPr>
          <w:rFonts w:ascii="Verdana" w:eastAsia="Times New Roman" w:hAnsi="Verdana"/>
          <w:sz w:val="18"/>
          <w:szCs w:val="18"/>
        </w:rPr>
        <w:t>ynamische, gedragstherapeutische (overwinnen van specifieke fobieën) en systemische aspecten van de behandeling.</w:t>
      </w:r>
    </w:p>
    <w:p w14:paraId="0D3BB038" w14:textId="77777777" w:rsidR="00000000" w:rsidRDefault="00406127">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Valkuilen in de behandeling, in het bijzonder met betrekking tot de therapeutische relatie en voortijdig 'open leggen'.</w:t>
      </w:r>
    </w:p>
    <w:p w14:paraId="45E40439" w14:textId="77777777" w:rsidR="00000000" w:rsidRDefault="00406127">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(Contra)indicaties vo</w:t>
      </w:r>
      <w:r>
        <w:rPr>
          <w:rFonts w:ascii="Verdana" w:eastAsia="Times New Roman" w:hAnsi="Verdana"/>
          <w:sz w:val="18"/>
          <w:szCs w:val="18"/>
        </w:rPr>
        <w:t>or fase 2, behandeling van traumatische herinneringen.</w:t>
      </w:r>
    </w:p>
    <w:p w14:paraId="6AD45BED" w14:textId="77777777" w:rsidR="00406127" w:rsidRDefault="00406127">
      <w:pPr>
        <w:rPr>
          <w:rFonts w:ascii="Verdana" w:eastAsia="Times New Roman" w:hAnsi="Verdana"/>
          <w:b/>
          <w:bCs/>
          <w:sz w:val="18"/>
          <w:szCs w:val="18"/>
        </w:rPr>
      </w:pPr>
      <w:r>
        <w:rPr>
          <w:rFonts w:ascii="Verdana" w:eastAsia="Times New Roman" w:hAnsi="Verdana"/>
          <w:sz w:val="18"/>
          <w:szCs w:val="18"/>
        </w:rPr>
        <w:t>Op dag 2, 3 en 4 worden de diagnostische onderzoeken aan de hand van de door jou zelfgemaakte video-opnamen van de SCID-D en/of TADS-I besproken.</w:t>
      </w:r>
      <w:r>
        <w:rPr>
          <w:rFonts w:ascii="Verdana" w:eastAsia="Times New Roman" w:hAnsi="Verdana"/>
          <w:sz w:val="18"/>
          <w:szCs w:val="18"/>
        </w:rPr>
        <w:br/>
      </w:r>
      <w:r>
        <w:rPr>
          <w:rFonts w:ascii="Verdana" w:eastAsia="Times New Roman" w:hAnsi="Verdana"/>
          <w:sz w:val="18"/>
          <w:szCs w:val="18"/>
        </w:rPr>
        <w:br/>
      </w:r>
    </w:p>
    <w:p w14:paraId="5782DB2B" w14:textId="4CD6E322" w:rsidR="00000000" w:rsidRDefault="00406127">
      <w:pPr>
        <w:rPr>
          <w:rFonts w:ascii="Verdana" w:eastAsia="Times New Roman" w:hAnsi="Verdana"/>
          <w:sz w:val="18"/>
          <w:szCs w:val="18"/>
        </w:rPr>
      </w:pPr>
      <w:bookmarkStart w:id="0" w:name="_GoBack"/>
      <w:bookmarkEnd w:id="0"/>
      <w:r>
        <w:rPr>
          <w:rFonts w:ascii="Verdana" w:eastAsia="Times New Roman" w:hAnsi="Verdana"/>
          <w:b/>
          <w:bCs/>
          <w:sz w:val="18"/>
          <w:szCs w:val="18"/>
        </w:rPr>
        <w:lastRenderedPageBreak/>
        <w:t>Docent</w:t>
      </w:r>
      <w:r>
        <w:rPr>
          <w:rFonts w:ascii="Verdana" w:eastAsia="Times New Roman" w:hAnsi="Verdana"/>
          <w:sz w:val="18"/>
          <w:szCs w:val="18"/>
        </w:rPr>
        <w:br/>
        <w:t>drs. Desiree Tijdink - Psychiater, psychothera</w:t>
      </w:r>
      <w:r>
        <w:rPr>
          <w:rFonts w:ascii="Verdana" w:eastAsia="Times New Roman" w:hAnsi="Verdana"/>
          <w:sz w:val="18"/>
          <w:szCs w:val="18"/>
        </w:rPr>
        <w:t>peut en relatie- en gezinstherapeut. Desiree is werkzaam bij GGZ Centraal, Ermelo</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w:t>
      </w:r>
      <w:r>
        <w:rPr>
          <w:rFonts w:ascii="Verdana" w:eastAsia="Times New Roman" w:hAnsi="Verdana"/>
          <w:sz w:val="18"/>
          <w:szCs w:val="18"/>
        </w:rPr>
        <w:t xml:space="preserve">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40092"/>
    <w:multiLevelType w:val="multilevel"/>
    <w:tmpl w:val="0B6A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075195"/>
    <w:multiLevelType w:val="multilevel"/>
    <w:tmpl w:val="244C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06127"/>
    <w:rsid w:val="004061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C4DEEA"/>
  <w15:chartTrackingRefBased/>
  <w15:docId w15:val="{8EDC9BD4-B3A0-4848-8EC0-9F590C413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699375">
      <w:marLeft w:val="0"/>
      <w:marRight w:val="0"/>
      <w:marTop w:val="0"/>
      <w:marBottom w:val="0"/>
      <w:divBdr>
        <w:top w:val="none" w:sz="0" w:space="0" w:color="auto"/>
        <w:left w:val="none" w:sz="0" w:space="0" w:color="auto"/>
        <w:bottom w:val="none" w:sz="0" w:space="0" w:color="auto"/>
        <w:right w:val="none" w:sz="0" w:space="0" w:color="auto"/>
      </w:divBdr>
      <w:divsChild>
        <w:div w:id="88043946">
          <w:marLeft w:val="0"/>
          <w:marRight w:val="0"/>
          <w:marTop w:val="0"/>
          <w:marBottom w:val="0"/>
          <w:divBdr>
            <w:top w:val="none" w:sz="0" w:space="0" w:color="auto"/>
            <w:left w:val="none" w:sz="0" w:space="0" w:color="auto"/>
            <w:bottom w:val="none" w:sz="0" w:space="0" w:color="auto"/>
            <w:right w:val="none" w:sz="0" w:space="0" w:color="auto"/>
          </w:divBdr>
          <w:divsChild>
            <w:div w:id="20400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3322</Characters>
  <Application>Microsoft Office Word</Application>
  <DocSecurity>0</DocSecurity>
  <Lines>27</Lines>
  <Paragraphs>7</Paragraphs>
  <ScaleCrop>false</ScaleCrop>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2020-05-11T06:18:00Z</dcterms:created>
  <dcterms:modified xsi:type="dcterms:W3CDTF">2020-05-11T06:18:00Z</dcterms:modified>
</cp:coreProperties>
</file>